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D5C" w:rsidRDefault="001D5D5C" w:rsidP="001D5D5C">
      <w:pPr>
        <w:shd w:val="clear" w:color="auto" w:fill="FFFFFF"/>
        <w:spacing w:after="0" w:line="240" w:lineRule="auto"/>
        <w:rPr>
          <w:rFonts w:ascii="Arial" w:hAnsi="Arial" w:cs="Arial"/>
          <w:color w:val="37474F"/>
        </w:rPr>
      </w:pPr>
    </w:p>
    <w:p w:rsidR="001D5D5C" w:rsidRDefault="001D5D5C" w:rsidP="001D5D5C">
      <w:pPr>
        <w:pStyle w:val="Prrafodelista"/>
        <w:numPr>
          <w:ilvl w:val="0"/>
          <w:numId w:val="1"/>
        </w:numPr>
        <w:shd w:val="clear" w:color="auto" w:fill="FFFFFF"/>
        <w:spacing w:after="0" w:line="240" w:lineRule="auto"/>
        <w:jc w:val="both"/>
        <w:rPr>
          <w:rFonts w:ascii="Tahoma" w:hAnsi="Tahoma" w:cs="Tahoma"/>
          <w:color w:val="595959" w:themeColor="text1" w:themeTint="A6"/>
        </w:rPr>
      </w:pPr>
      <w:r w:rsidRPr="000B2B0B">
        <w:rPr>
          <w:rFonts w:ascii="Tahoma" w:hAnsi="Tahoma" w:cs="Tahoma"/>
          <w:b/>
          <w:color w:val="595959" w:themeColor="text1" w:themeTint="A6"/>
        </w:rPr>
        <w:t xml:space="preserve">Circular </w:t>
      </w:r>
      <w:hyperlink r:id="rId5" w:history="1">
        <w:r w:rsidRPr="000B2B0B">
          <w:rPr>
            <w:rFonts w:ascii="Tahoma" w:hAnsi="Tahoma" w:cs="Tahoma"/>
            <w:b/>
            <w:color w:val="595959" w:themeColor="text1" w:themeTint="A6"/>
          </w:rPr>
          <w:t> NAC-DGECCGC17-00000010</w:t>
        </w:r>
      </w:hyperlink>
      <w:r w:rsidRPr="000B2B0B">
        <w:rPr>
          <w:rFonts w:ascii="Tahoma" w:hAnsi="Tahoma" w:cs="Tahoma"/>
          <w:b/>
          <w:color w:val="595959" w:themeColor="text1" w:themeTint="A6"/>
        </w:rPr>
        <w:t xml:space="preserve">: </w:t>
      </w:r>
      <w:r w:rsidRPr="000B2B0B">
        <w:rPr>
          <w:rFonts w:ascii="Tahoma" w:hAnsi="Tahoma" w:cs="Tahoma"/>
          <w:color w:val="595959" w:themeColor="text1" w:themeTint="A6"/>
        </w:rPr>
        <w:t>A los sujetos pasivos del Impuesto a la Renta</w:t>
      </w:r>
    </w:p>
    <w:p w:rsidR="001D5D5C" w:rsidRPr="00575998" w:rsidRDefault="001D5D5C" w:rsidP="001D5D5C">
      <w:pPr>
        <w:shd w:val="clear" w:color="auto" w:fill="FFFFFF"/>
        <w:spacing w:after="0" w:line="240" w:lineRule="auto"/>
        <w:rPr>
          <w:rFonts w:ascii="Tahoma" w:eastAsia="Times New Roman" w:hAnsi="Tahoma" w:cs="Tahoma"/>
          <w:sz w:val="16"/>
          <w:szCs w:val="16"/>
          <w:lang w:val="es-EC" w:eastAsia="es-EC"/>
        </w:rPr>
      </w:pPr>
    </w:p>
    <w:p w:rsidR="001D5D5C" w:rsidRDefault="001D5D5C" w:rsidP="001D5D5C">
      <w:pPr>
        <w:shd w:val="clear" w:color="auto" w:fill="FFFFFF"/>
        <w:spacing w:after="0" w:line="240" w:lineRule="auto"/>
        <w:rPr>
          <w:rFonts w:ascii="Tahoma" w:eastAsia="Times New Roman" w:hAnsi="Tahoma" w:cs="Tahoma"/>
          <w:sz w:val="16"/>
          <w:szCs w:val="16"/>
          <w:lang w:val="es-EC" w:eastAsia="es-EC"/>
        </w:rPr>
      </w:pPr>
    </w:p>
    <w:p w:rsidR="001D5D5C" w:rsidRPr="00873831" w:rsidRDefault="001D5D5C" w:rsidP="001D5D5C">
      <w:pPr>
        <w:shd w:val="clear" w:color="auto" w:fill="FFFFFF"/>
        <w:spacing w:after="0" w:line="240" w:lineRule="auto"/>
        <w:rPr>
          <w:rFonts w:ascii="Tahoma" w:eastAsia="Times New Roman" w:hAnsi="Tahoma" w:cs="Tahoma"/>
          <w:sz w:val="16"/>
          <w:szCs w:val="16"/>
          <w:lang w:val="es-EC" w:eastAsia="es-EC"/>
        </w:rPr>
      </w:pPr>
      <w:r w:rsidRPr="00873831">
        <w:rPr>
          <w:rFonts w:ascii="Tahoma" w:eastAsia="Times New Roman" w:hAnsi="Tahoma" w:cs="Tahoma"/>
          <w:sz w:val="16"/>
          <w:szCs w:val="16"/>
          <w:lang w:val="es-EC" w:eastAsia="es-EC"/>
        </w:rPr>
        <w:t>El artículo 283 de la Constitución de la República del Ecuador, establece que el sistema económico es social y solidario y se integra por las formas de organización económica pública, privada, mixta, popular y solidaria y las demás que la Constitución determine, la economía popular y solidaria se regulará de acuerdo con la ley e incluirá a los sectores cooperativistas, asociativos y comunitarios.</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319 de la Constitución de la República del Ecuador establece que se reconocen diversas formas de organización de la producción en la economía, entre otras las comunitarias, cooperativas, empresas públicas o privadas, asociativas, familiares, domésticas, autónomas y mixtas.</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300 de la Constitución de la República del Ecuador señala que el régimen tributario se regirá por los principios de generalidad, progresividad, eficiencia, simplicidad administrativa, irretroactividad, equidad, transparencia y suficiencia recaudatoria. Se priorizarán los impuestos directos y progresivos.</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numeral 19 del artículo 9 de la Ley de Régimen Tributario Interno dispone que los ingresos percibidos por las organizaciones que integran la Economía Popular y Solidaria son exentos para efectos del cálculo de la determinación y liquidación del Impuesto a la Renta, siempre y cuando las utilidades obtenidas sean reinvertidas en la propia organización.</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45 </w:t>
      </w:r>
      <w:proofErr w:type="spellStart"/>
      <w:r w:rsidRPr="00873831">
        <w:rPr>
          <w:rFonts w:ascii="Tahoma" w:eastAsia="Times New Roman" w:hAnsi="Tahoma" w:cs="Tahoma"/>
          <w:i/>
          <w:iCs/>
          <w:sz w:val="16"/>
          <w:szCs w:val="16"/>
          <w:lang w:val="es-EC" w:eastAsia="es-EC"/>
        </w:rPr>
        <w:t>íbidem</w:t>
      </w:r>
      <w:proofErr w:type="spellEnd"/>
      <w:r w:rsidRPr="00873831">
        <w:rPr>
          <w:rFonts w:ascii="Tahoma" w:eastAsia="Times New Roman" w:hAnsi="Tahoma" w:cs="Tahoma"/>
          <w:i/>
          <w:iCs/>
          <w:sz w:val="16"/>
          <w:szCs w:val="16"/>
          <w:lang w:val="es-EC" w:eastAsia="es-EC"/>
        </w:rPr>
        <w:t> </w:t>
      </w:r>
      <w:r w:rsidRPr="00873831">
        <w:rPr>
          <w:rFonts w:ascii="Tahoma" w:eastAsia="Times New Roman" w:hAnsi="Tahoma" w:cs="Tahoma"/>
          <w:sz w:val="16"/>
          <w:szCs w:val="16"/>
          <w:lang w:val="es-EC" w:eastAsia="es-EC"/>
        </w:rPr>
        <w:t>establece que toda persona jurídica, pública o privada, las sociedades y las empresas o personas naturales obligadas a llevar contabilidad que paguen o acrediten en cuenta cualquier otro tipo de ingresos que constituyan rentas gravadas para quien los reciba, actuará como agente de retención del impuesto a la renta.</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artículo 7 del Código Tributario dispone que el Director General del Servicio de Rentas Internas, en el ámbito de sus competencias respectivas, dictará circulares o disposiciones generales necesarias para la aplicación de las leyes tributarias y para la armonía y eficiencia de su administración, sin modificar o alterar el sentido de la ley ni crear obligaciones impositivas o establecer exenciones no previstas en ella.</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Con base en la normativa anteriormente expuesta, esta Administración Tributaria, en el ejercicio de sus facultades de conformidad con la ley, recuerda a los sujetos pasivos del Impuesto a la Renta lo siguiente:</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 Los ingresos percibidos por las organizaciones que integran la Economía Popular y Solidaria son considerados como ingresos exentos, cumpliendo con las disposiciones contenidas en el numeral 19 del artículo 9 de la Ley de Régimen Tributario Interno.</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 En virtud de lo anteriormente expuesto, y en concordancia con lo señalado en el artículo 45 de la misma Ley de Régimen Tributario Interno, las organizaciones integrantes de la Economía Popular y Solidaria no se constituyen en sujetos de retención en la fuente de Impuesto a la Renta.</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El Servicio de Rentas Internas, en ejercicio de sus facultades legalmente establecidas, podrá llevar a cabo los procesos de control necesarios para el debido cumplimiento de esta Circular.</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Comuníquese y publíquese.</w:t>
      </w:r>
      <w:r w:rsidRPr="00873831">
        <w:rPr>
          <w:rFonts w:ascii="Tahoma" w:eastAsia="Times New Roman" w:hAnsi="Tahoma" w:cs="Tahoma"/>
          <w:sz w:val="16"/>
          <w:szCs w:val="16"/>
          <w:lang w:val="es-EC" w:eastAsia="es-EC"/>
        </w:rPr>
        <w:br/>
      </w:r>
      <w:r w:rsidRPr="00873831">
        <w:rPr>
          <w:rFonts w:ascii="Tahoma" w:eastAsia="Times New Roman" w:hAnsi="Tahoma" w:cs="Tahoma"/>
          <w:sz w:val="16"/>
          <w:szCs w:val="16"/>
          <w:lang w:val="es-EC" w:eastAsia="es-EC"/>
        </w:rPr>
        <w:br/>
        <w:t>Dictó y firmó la Circular que antecede, el Econ. Leonardo Orlando Arteaga, Director General del Servicio de Rentas Internas, en Quito D.M., a 26 de octubre de 2017.</w:t>
      </w:r>
    </w:p>
    <w:p w:rsidR="001D5D5C" w:rsidRDefault="001D5D5C" w:rsidP="001D5D5C">
      <w:pPr>
        <w:shd w:val="clear" w:color="auto" w:fill="FFFFFF"/>
        <w:spacing w:after="0" w:line="240" w:lineRule="auto"/>
        <w:rPr>
          <w:rFonts w:ascii="Tahoma" w:eastAsia="Times New Roman" w:hAnsi="Tahoma" w:cs="Tahoma"/>
          <w:sz w:val="16"/>
          <w:szCs w:val="16"/>
          <w:lang w:val="es-EC" w:eastAsia="es-EC"/>
        </w:rPr>
      </w:pPr>
    </w:p>
    <w:p w:rsidR="00ED05EB" w:rsidRPr="001D5D5C" w:rsidRDefault="00ED05EB">
      <w:pPr>
        <w:rPr>
          <w:lang w:val="es-EC"/>
        </w:rPr>
      </w:pPr>
      <w:bookmarkStart w:id="0" w:name="_GoBack"/>
      <w:bookmarkEnd w:id="0"/>
    </w:p>
    <w:sectPr w:rsidR="00ED05EB" w:rsidRPr="001D5D5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88C5249"/>
    <w:multiLevelType w:val="hybridMultilevel"/>
    <w:tmpl w:val="5972F14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D5C"/>
    <w:rsid w:val="001D5D5C"/>
    <w:rsid w:val="00ED05EB"/>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AD813EC-80D7-42B3-9664-77675161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D5C"/>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D5D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javascript:Vincular(1538814)"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522</Words>
  <Characters>2871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2017-12-08T16:11:00Z</dcterms:created>
  <dcterms:modified xsi:type="dcterms:W3CDTF">2017-12-08T16:12:00Z</dcterms:modified>
</cp:coreProperties>
</file>